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нового рассмотрения дела решением Арбитражного суда Краснодарского края от 21.02.2019, оставленным без изменения постановлением Пятнадцатого арбитражного апелляционного суда от 19.05.2019 и постановлением Арбитражного суда Северо-Кавказского округа от 28.08.2019, решение инспекции признано недействительным в части начисления 38 646 956 рублей налога на добавленную стоимость (далее – НДС), 9 282 339 рублей пеней и привлечения к налоговой ответственности по пункту 1 статьи 122 Налогового кодекса Российской Федерации (далее – Налоговый кодекс) в виде взыскания 7 729 390 рублей штрафа. В остальной части производство по делу прекращено в связи с отказом общества от заявленного требования. В кассационной жалобе, поданной в Верховный Суд Российской Федерации, инспекция,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за период с 29.11.2013 по 31.12.2015, в ходе которой установлено осуществление налогоплательщиком финансирования реконструкции спорного объекта в качестве инвестора в рамках инвестиционного договора. По мнению налогового органа, общество обладает правом на применение налогового вычета в рамках исполнения инвестиционного договора, однако лишь пропорционально доли участия в договоре (с учетом решения вышестоящего налогового органа). Данные обстоятельства послужили основанием для начисления 38 646 956 рублей НДС, 9 282 339 рублей пеней и 7 729 390 рублей штрафа. Признавая решение инспекции в указанной части законным, суды, оценив представленные в материалы дела доказательства, руководствуясь положениями статей 39 , 146 , 168 , 171 , 172 , 173 , 174.1 Налогового кодекса, статей 421 , 1041 , 1043 Гражданского кодекса Российской Федерации, Федеральными законами от 25.02.1999 № 39-ФЗ «Об инвестиционной деятельности в Российской Федерации, осуществляемой в форме капитальных вложений» и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разъяснениями Пленума Высшего Арбитражного Суда Российской Федерации, изложенными в пункте 7 постановления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 и пункте 22 постановления от 30.05.2014 № 33 «О некоторых вопросах, возникающих у арбитражных судов при рассмотрении дел, связанных с взиманием налога на добавленную стоимость», правовыми позициями, сформулированными в пункте 16 Обзора практики рассмотрения судами дел, связанных с применением глав 26.2 и 26.5 Кодекса в отношении субъектов малого и среднего предпринимательства, утвержденного Президиумом Верховного Суда Российской Федерации 04.07.2018, постановлениях Президиума Высшего Арбитражного Суда Российской Федерации от 09.06.2009 № 17188/08 и от 22.06.2010 № 2196/10, пришли к выводу об отсутствии правовых оснований для отказа обществу в применении налоговых вычетов в размере ¾ доли по счетам-фактурам, выставленным подрядчиками. Судебные инстанции исходили из наличия у общества как инвестора, осуществляющего инвестирование в капитальное строительство объекта, предусмотренного налоговым законодательством права на принятие к вычету НДС, предъявленного подрядчиками (проектировщиками, поставщиками) в отношении всех затрат, понесенных в ходе строительства объекта (до его полного завершения). Такое право не зависит от ввода объекта капитального строительства в эксплуатацию и последующего распределения площадей в построенном объекте между участниками договора. Вместе с тем суды указали, что на момент проверки весь объект реконструкции в эксплуатацию не введен и распределение долей между сторонами договора не производилось, в связи с чем соотношение долей по условиям договора не являлось окончательным и может быть изменено после ввода объекта в эксплуатацию. Доводы, изложенные в кассационной жалобе, в том числе о неверной квалификации инвестиционного договора, являлись предметом рассмотрения судов и получили надлежащую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дела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№ 2 по городу Краснодару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