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15.04.2019, оставленным без изменения постановлением Пятнадцатого арбитражного апелляционного суда от 24.06.2019 и постановлением Арбитражного суда Северо-Кавказского округа от 26.09.2019, иск удовлетворен частично. В кассационной жалобе предприниматель просит о пересмотре судебных актов, ссылаясь на непринятие и неисследование судами доказательств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наличие у предпринимателя обязанности в силу статьи 1102 Гражданского кодекса Российской Федерации возвратить полученную от общества сумму, поскольку основания для ее удержания после расторжения договоров и в отсутствие оказания услуг не имеется. Доводы кассационной жалобы, связанные с доказыванием и оценкой доказательств, не составляют оснований для пересмотра судебных актов в кассационном порядке. Отказ в пересмотре судебных актов исключает приостановление их исполнения, о котором ходатайствует предприниматель.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