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20.02.2019 в удовлетворении иска отказано. Постановлением Семнадцатого арбитражного апелляционного суда от 21.05.2019, оставленным без изменения постановлением Арбитражного суда Уральского округа от 28.08.2019, решение отменено, иск удовлетворен. В кассационной жалобе предприятие просит отменить судебные акты апелляционного и окружного судов вследствие возникновения убытков из-за неисполнения обществом условий договора.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Исследовав обстоятельства возникновения убытков по представленным доказательствам, апелляционный суд установил наличие необходимых в силу статей 15 , 393 Гражданского кодекса Российской Федерации условий для взыскания убытков вследствие ненадлежащего исполнения предприятием обязательств в рамках договора на охранные услуги от 17.05.2016 № 296. Переоценка выводов судов в отношении условий применения ответственности не составляет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«Частное охранное предприятие «Уральское содействие безопасности бизнеса»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