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25.10.2018, оставленным без изменения постановлением Шестого арбитражного апелляционного суда от 15.01.2019, в удовлетворении иска отказано. Определением Арбитражного суда Хабаровского края от 03.04.2019, оставленным без изменения постановлением Шестого арбитражного апелляционного суда от 12.07.2019, заявление общества «Двери и сервис» о взыскании 43 000 судебных расходов удовлетворено. Постановлением Арбитражного суда Дальневосточного округа от 10.09.2019 определение от 03.04.2019 и постановление апелляционного суда от 12.07.2019 отменены в части взыскания с общества «ВСК» 15 000 рублей судебных расходов и в удовлетворении заявления в этой части отказано. В кассационной жалобе общество «ВСК» просит отменить судебные акты в части взысканной суммы вследствие недоказанности несения расходов. В кассационной жалобе общество «Двери и сервис» просит об отмене постановления окружного суда в отношении невзысканной части судебных расходов как незаконного вследствие необоснованного снижения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Рассматривая заявление о судебных расходах, суды руководствовались постановлением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статьями 101 , 106 , 110 Арбитражного процессуального кодекса Российской Федерации и обстоятельствами дела. Суды проверили соответствие заявленных судебных расходов критериям разумности и обоснованности, определенным законом и судебной практикой, и установили разумную и обоснованную сумму затрат, понесенных ответчиком в связи с рассмотрением дела, во взысканном размере. Отменяя судебные акты нижестоящих судов в отношении стоимости работы по подготовке ответа на претензию, суд округа обоснованно исходил из неотнесения ее в силу закона к судебным расходам. Доводы жалоб сводятся к иной оценке обстоятельств несения расходов, не создающей обозначенных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«ВСК» и обществу с ограниченной ответственностью «Двери и сервис»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Н.А. Ксенофонтова Российской Федерации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