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17.01.2019, оставленным без изменения постановлением Девятого арбитражного апелляционного суда от 10.07.2019, взыскано 623 433 рубля 07 копеек неосновательного обогащения и 13 096 рублей 36 копеек процентов за пользование чужими денежными средствами. Арбитражный суд Московского округа постановлением от 01.10.2019 решение от 17.01.2019 и постановление Девятого арбитражного апелляционного суда от 10.07.2019 оставил без изменения. В кассационной жалобе общество просит об отмене указанных судебных актов, ссылаясь на превышение банком законных полномочий на осуществление функций контроля и незаконность удержанной комиссии.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представленные сторонами доказательства, суды установили договор от 23.03.2017 в качестве основания для удержания комиссии в сумме, не превышающей 1 000 000 рублей, и ненадлежащее исполнение обществом требований банка о предоставлении информации и документов, подтверждающих характер финансово-хозяйственной деятельности. Таким образом, судебные акты соответствуют статье 845 Гражданского кодекса Российской Федерации и договору.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«Арро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