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21.06.2018 заявленные требования удовлетворены частично, признан недействительным пункт 3 решения антимонопольного органа от 08.07.2016 № 508-ж/2016. В удовлетворении остальной части заявленных требований отказано. Постановлением Восемнадцатого арбитражного апелляционного суда от 26.03.2019 решение суда первой инстанции изменено, признано недействительным, как несоответствующее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решение управления от 08.07.2016 № 508-ж/2016 в части пункта 1, пункта 2 (в части установления в действиях заказчика нарушений пункта 2 статьи 42, пункта 2 части 1, части 3 статьи 64, пункта 1 части 1, части 2 статьи 33, пункта 1 части 1, части 5 статьи 31, пункта 6 части 5 статьи 63 Закона о контрактной системе) и пункта 3. В удовлетворении остальной части требований отказано. Арбитражный суд Уральского округа постановлением от 20.08.2019 постановление суда апелляционной инстанции оставил без изменения. В кассационной жалобе, поданной в Верховный Суд Российской Федерации, антимонопольный орган, ссылаясь на существенные нарушения норм права, несоответствие выводов судов фактическим обстоятельствам дела,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«ЮК «Стерлигов и партнеры» на действия министерства (заказчик) при проведении электронного аукциона с предметом закупки «Ремонт автомобильной дороги Кунашак – Усть-Багаряк, участок км 16 – км 23,7», содержащей сведения о неполноте документации об электронном аукционе и нарушении порядка публикации извещения о нем, антимонопольным органом принято оспариваемое решение. Управлением жалоба ООО «ЮК «Стерлигов и партнеры» признана обоснованной в части нарушений, связанных с размещением извещения о закупке, ранее установленного законодательством о контрактной системе срока, а также нарушений при описании объекта закупки, неустановления требований к участнику закупки по пункту 1 части 1 статьи 31 Закона о контрактной системе (пункт 1); в действиях министерства выявлены нарушения пункта 2 статьи 42, пунктов 1, 2 части 1, части 3 статьи 64, пункта 1 части 1, части 2 статьи 33, пункта 1 части 1, части 5 статьи 31, пункта 6 части 5 статьи 63, части 14 статьи 21 Закона о контрактной системе, пункта 9 постановления Правительства Российской Федерации от 05.06.2015 № 553 «Об утверждении Правил формирования, утверждения и ведения плана-графика 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 (пункт 2); в действиях заказчика установлено также нарушение пункта 1 части 1 статьи 64, частей 13, 24 статьи 34 Закона о контрактной системе (пункт 3). Предписанием управления на министерство возложена обязанность по устранению нарушения законодательства о контрактной системе.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Закона о контрактной системе, Перечнем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 утверждённым приказом Министерства регионального развития Российской Федерации от 30.12.2009 № 624 (далее – Перечень видов работ по капитальному ремонту), Классификацией работ по капитальному ремонту, ремонту и содержанию автомобильных дорог, утверждённой приказом Министерства транспорта Российской Федерации от 16.11.2012 № 402 (далее – Классификация работ по капитальному ремонту), учитывая результаты судебной экспертизы и пояснения эксперта, суд апелляционной инстанции пришел к выводу о незаконности решения антимонопольного органа в обжалуемой в настоящей жалобе части, с чем согласился суд округа. Суд апелляционной инстанции исходил из неправомерности отнесения фактически образующих объект закупки работ к работам по капитальному ремонту автомобильных дорог, поскольку в рассматриваемой ситуации спорные работы таковыми не являются. При этом учитывая, что при проведении судебной экспертизы экспертом дана оценка конкретным видам работ с учетом их характеристик и параметров, а также регламентирующей такие работы нормативной документации, а противоречащая выводам эксперта позиция антимонопольного органа (поддержанная письмами отдельных саморегулируемых организаций) основана только на формальном анализе наименований работ, содержащихся в аукционной документации, в сравнении с положениями Классификации работ по капитальному ремонту и Перечня видов работ по капитальному ремонту, судом округа отмечено, что суд апелляционной инстанции в целях наиболее объективного и правильного рассмотрения спора правомерно руководствовался выводами, содержащимися в экспертном заключении. Приведенные в жалобе доводы являлись предметом рассмотрения судов и получили надлежащую правовую оценку, повторяют правовую позицию управления по спору, направлены на переоценку установленных фактических обстоятельств дела и представленных в материалы дела доказательств и не подтверждают существенных нарушений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