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08.05.2019, оставленным без изменения постановлением Шестнадцатого арбитражного апелляционного суда от 16.08.2019, удовлетворено ходатайство общества о принятии обеспечительных мер в виде приостановления действия оспариваемого решения инспекции до рассмотрения спора по существу и вступления в законную силу решения суда. Постановлением Арбитражного суда Северо-Кавказского округа от 20.10.2019 определение суда первой инстанции и постановление суда 2 апелляционной инстанции отменены, в удовлетворении ходатайства о принятии обеспечительных мер отказано. В кассационной жалобе, поданной в Верховный Суд Российской Федерации, общество просит отменить постановление суда округа, ссылаясь на существенное нарушение норм права, и оставить в силе судебные акты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Отменяя судебные акты и отказывая в удовлетворении ходатайства общества, суд округа, руководствуясь положениями статей 90, 91 Арбитражного процессуального кодекса Российской Федерации, разъяснениями, изложенными в пунктах 9, 10 постановления Пленума Высшего Арбитражного Суда Российской Федерации от 12.10.2006 № 55 «О применении арбитражными судами обеспечительных мер» и пункте 3 информационного письма Президиума Высшего Арбитражного Суда Российской Федерации от 13.08.2004 № 83 «О некоторых вопросах, связанных с применением части 3 статьи 199 Арбитражного процессуального кодекса Российской Федерации», пришел к выводу об отсутствии у судов первой и апелляционной инстанций правовых оснований для принятия заявленных обеспечительных мер. Суд кассационной инстанции исходил из того, что приостановление действия решения инспекции нарушает баланс публичных и частных интересов, а также не гарантирует возмещение убытков, которые могут быть причинены одной из сторон арбитражного процесса. При этом общество не представило экономически обоснованный прогноз результатов деятельности, не обосновало возможность получения в результате хозяйственной деятельности доходов, достаточных для исполнения решения инспекции, и не опровергло документально подтвержденные доводы инспекции 3 об уменьшении заявителем стоимости основных средств и увеличении кредиторской задолженности, что опровергает вывод судов о финансовой стабильности последнего. Также не предоставлено встречное обеспечение. Доводы общества, изложенные в кассационной жалобе, основаны на ином толковании норм права, не опровергают выводы суда округа, не подтверждают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Вместе с тем суд обращает внимание, что на момент рассмотрения настоящей кассационной жалобы, требование общества рассмотрено по существу.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«Дагестанская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