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14.03.2019 иск удовлетворен. Определением Десятого арбитражного апелляционного суда от 20.09.2019, оставленным без изменения постановлением Арбитражного суда Московского округа от 15.10.2019, апелляционная жалоба возвращена предпринимателю в связи с пропуском срока подачи и отказом в удовлетворении ходатайства о восстановлении срока. В кассационной жалобе предприниматель просит о пересмотре судебных актов в отношении возвращения апелляционной жалобы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Судом апелляционной инстанции оценен довод о ненадлежащем извещении предпринимателя о начавшемся судебном процессе и установлено своевременное направление предпринимателю судебной корреспонденции, которая была возвращена в арбитражный суд с отметкой органа почтовой в связи с истечением срока хранения. При таких обстоятельствах отказ в восстановлении пропущенного процессуального срока и утрата возможности обжалования решения компетентно признаны следствием субъективного процессуального поведения предпринимателя.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