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17.06.2019 в удовлетворении иска отказано. Постановлением Девятого арбитражного апелляционного суда от 17.09.2019 решение отменено, иск удовлетворен. В кассационной жалобе общество «Эмекс.ру» просит о пересмотре судебного акта апелляционного суда как незаконного, ссылаясь на наличие соглашения, в том числе о неустойке, посредством акцепта оферты.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Повторно рассмотрев дело, исследовав и оценив представленные доказательства и руководствуясь статьями 331 , 486 , 506 , 516 Гражданского кодекса Российской Федерации, апелляционный суд обоснованно удовлетворил иск, признав неисполнение ответчиком обязательства по оплате полученного товара в отсутствие письменного соглашения как основания для начисления истцу зачтенной в счет уплаты долга неустойки.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«Эмекс.ру»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