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28.06.2019, принятым в порядке упрощенного производства и оставленным без изменения постановлением Десятого арбитражного апелляционного суда от 22.08.2019, иск удовлетворен. В кассационной жалобе общество «МианСтрой» просит отменить судебные акты вследствие неподтвержденности задолженности и игнорирования несоблюдения досудебного порядка урегулирования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Признавая заявленные требования обоснованными и подлежащими удовлетворению на основании статей 395 , 779 , 781 Гражданского кодекса Российской Федерации, суды руководствовались установленными обстоятельствами сдачи услуг истцом, отсутствием мотивированного отказа ответчика от подписания акта приемки и частичной оплатой им услуг. Претензионный порядок урегулирования спора признан судами соблюденным. Вопросы доказывания и оценки доказательств, затронутые в жалобе, не составляют оснований для пересмотра судебных актов в кассационном порядке.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«МианСтрой»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