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28.12.2018 первоначальный и встречный иски удовлетворены. Девятый арбитражный апелляционный суд постановлением от 05.03.2019 отменил решение от 28.12.2018 и отказал в удовлетворении первоначального и встречного исков вследствие истечения срока исковой давности. Арбитражный суд Московского округа постановлением от 14.08.2019 постановление Девятого арбитражного апелляционного суда от 05.03.2019 оставил без изменения. В кассационной жалобе общество «Феско Транс» просит об отмене судебных актов апелляционного и окружного судов в отношении первоначального иска как незаконных, ссылаясь на приостановление течения срока исковой давности на время формального соблюдения обязательного претензионного порядка.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стороны имеют взаимные требования в связи с исполнением генерального договора транспортной экспедиции от 08.12.2016 № 007реф-2016 и урегулирование их началось с претензии общества «СТС» (клиента), удовлетворившего за минусом суммы, заявленной в первоначальном иске, требования общества «Феско Транс». В такой ситуации признание судом апелляционной инстанции отсутствия необходимости соблюдения досудебного порядка урегулирования спора в отношении требования по первоначальному иску и приостановления в связи с таким порядком течения срока исковой давности является правильным.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«Феско 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