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07.02.2019, оставленным без изменения постановлением Восьмого арбитражного апелляционного суда от 12.04.2019, в удовлетворении иска отказано. Арбитражный суд Западно-Сибирского округа постановлением от 12.08.2019 решение от 07.02.2019 и постановление Восьмого арбитражного апелляционного суда от 12.04.2019 оставил без изменения. В кассационной жалобе предприниматель просит об отмене судебных актов как незаконных, ссылаясь на превышение банком законных полномочий при осуществлении контроля в отношении операций клиентов и неправомерность одностороннего отказа от исполнения договора банковского счета.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возражения банка о подозрительном (сомнительном) и запутанном характере проводимых по счетам предпринимателя операций, подтверждены представленными предпринимателем документами, поэтому обоснованно сочли принятые банком меры соответствующими статье 859 Гражданского кодекса Российской Федерации и нормам Федерального закона от 07.08.2001 № 115-ФЗ «О противодействии легализации (отмыванию) доходов, полученных преступным путем, и финансированию терроризма». Доводы об отсутствии надлежащего анализа операций заявителя и его контрагентов, а также обстоятельств их совершения противоречат установленным судами обстоятельствам.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