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26.03.2019, оставленным без изменения постановлением Седьмого арбитражного апелляционного суда от 14.06.2019 и постановлением Арбитражного суда Западно-Сибирского округа от 20.09.2019, исковые требования удовлетворены. В кассационной жалобе ФССП и Управление ФССП по Алтайскому краю просят об отмене указанных судебных актов как незаконных, ссылаясь на необоснованность выводов о наличии условий, необходимых для взыскания убытков.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Неправомерный характер действий судебного пристава-исполнителя в отношении имущества предпринимателя установлен решением Арбитражного суда Алтайского края от 21.11.2017 по делу № А03-8672/2017. В рамках настоящего дела суды установили, что требуемые убытки являются следствием таких действий, что в совокупности с указанным обстоятельством образует необходимый в силу статей 15 , 1069 Гражданского кодекса Российской Федерации состав правонарушения как основание для взыскания убытков. Иная оценка заявителем последствий нарушения законодательства о деятельности службы судебных приставов и исполнительном производстве не создает обозначенных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судебных приставов и Управлению Федеральной службы судебных приставов по Алтайскому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