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04.03.2019 в удовлетворении первоначального иска отказано; встречный иск удовлетворен. Постановлением Пятнадцатого арбитражного апелляционного суда от 06.06.2019 решение от 04.03.2019 изменено: по первоначальному иску с предпринимателя ФИО2 в пользу предпринимателя ФИО1 взыскано 5 691 рубль задолженности за выполненные работы, 67 381 рубль 44 копейки неустойки за просрочку оплаты выполненных работ. В результате зачета удовлетворенных требований с предпринимателя ФИО1 в пользу предпринимателя ФИО2 взыскано 1 564 309 рублей задолженности, 274 506 рублей 67 копеек процентов за пользование чужими денежными средствами. Арбитражный суд Северо-Кавказского округа постановлением от 20.08.2019 постановление апелляционной инстанции оставил без изменения. В кассационной жалобе предприниматель ФИО1 просит о пересмотре судебных актов как незаконных вследствие неправильной квалификации обязательств и несоответствия обстоятельствам исполнения договоров.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обстоятельства исполнения сторонами обязательств в рамках договоров от 21.05.2015 № 1, от 21.05.2015 № 2, от 30.05.2015 № 3, от 01.06.2015 № 4, суды установили невыполнение предпринимателем ФИО1 (исполнителем) работ на заявленную во встречном иске сумму, получение исполнителем заявленных к взысканию в первоначальном иске авансовых платежей, наличие неоплаченной предпринимателем ФИО2 (заказчиком) задолженности за работы, выполненные по договору от 01.06.2015 № 4. Исходя из установленной утраты заказчиком интереса в исполнении договоров в связи с нарушением их исполнителем, состоявшегося исполнения, статей 450 , 702 , 708 , 715 Гражданского кодекса Российской Федерации, суды удовлетворили взаимные требования сторон. Доводы о неправильной квалификации правоотношений и оценке доказательств исполнения обязательств не влияют на результат рассмотрения дела, поскольку суды руководствовались содержанием договоров и установили обстоятельства их исполнения.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