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11.04.2019, оставленным без изменения постановлением Девятого арбитражного апелляционного суда от 08.07.2019 и постановлением Арбитражного суда Московского округа от 24.09.2019,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имущество организаций за 2014 год, в которой в качестве налогооблагаемой базы отражена кадастровая стоимость в сумме 990 942 738 рублей за вычетом налога на добавленную стоимость по ставке 18 процентов. По результатам проверки налоговым органом принято решение об отказе в привлечении к ответственности за совершение налогового правонарушения и доначислении к уплате 1 257 892 рублей налога на имущество, исходя из кадастровой стоимости объекта недвижимости, утвержденной постановлением Правительства города Москвы от 26.11.2013 № 752-ПП «Об утверждении результатов определения кадастровой стоимости объектов капитального строительства в городе Москве». Считая решение незаконным, общество обратилось в арбитражный суд. Оценив представленные в материалы дела доказательства, суды, руководствуясь положениями статей 166 , 168 , 346.26 , 374 , 375 , 378.2 Налогового кодекса Российской Федерации, статей 24.18, 24.20, 28.14 Федерального закона от 29.07.1998 № 135-ФЗ «Об оценочной деятельности в Российской Федерации», пришли к выводу о законности оспоренного решения ввиду правомерного исчисления инспекцией подлежащего к уплате обществом в бюджет налога на имущество исходя из кадастровой стоимости, установленной уполномоченным органом и внесенной в Единый государственный реестр недвижимости (далее – ЕГРН). Судебные инстанции отметили, что применение для целей налогообложения стоимости имущества, отличной от содержащейся в ЕГРН кадастровой стоимости, действующим законодательством не предусмотрено. При этом оценка законности и обоснованности включения или не включения суммы налога на добавленную стоимость в указанную в ЕГРН кадастровую стоимость объекта недвижимости для целей налогообложения по налогу на имущество осуществляется за рамками оспаривания решения налогового органа. Доводы, изложенные в кассационной жалобе, повторяют позицию общества по спору, не опровергают выводы судов и не подтверждают существенного нарушения норм материального и процессуального права, повлиявших на исход дела.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«ДПП-ПЛАЗА»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