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декабря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Санкт-Петербурга и Ленинградской области от 08.01.2019 иск удовлетворен. Постановлением Тринадцатого арбитражного апелляционного суда от 01.03.2019, оставленным без изменения постановлением Арбитражного суда Северо-Западного округа от 12.08.2019, решение изменено: взыскано 38 110 рублей 07 копеек неустойки, 37 127 рублей 10 копеек процентов за пользование чужими денежными средствами; в остальной части иска отказано. В кассационной жалобе общество «Элком» просит об отмене судебных актов апелляционного и окружного судов как незаконных, ссылаясь на игнорирование признания убытков и гарантии их компенсации ответчиком.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Суды установили, что заявленные истцом убытки не состоят в причинно- следственной связи с действиями ответчика, необходимой для их взыскания в силу статей 15 , 393 Гражданского кодекса Российской Федерации. Гарантийное письмо ответчика в отсутствие процессуального признания им требования об убытках и признанной судами обоснованности возражений в отношении требования об убытках правомерно не признано апелляционным судом в качестве основания возникновения обязательства по уплате спорной суммы.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«Элком»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 Суд: Верховный Суд РФ (подробнее) Судьи дела: Ксенофонтова Н.А. (судья) (подробнее) Судебная практика по: Упущенная выгода Судебная практика по применению норм ст. 15, 393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