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Арбитражный суд города Москвы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«Геобурсервис» (далее – Общество) о взыскании 68 351 591 рубля 10 копеек задолженности по займу, 25 235 313 рублей 80 копеек процентов по займу и 5 967 126 рублей 70 копеек процентов за пользование чужими денежными средствами в порядке статьи 395 Гражданского кодекса Российской Федерации (далее – Гражданский кодекс). К участию в деле в качестве третьего лица, не заявляющего самостоятельных требований относительно предмета спора привлечена ФИО2. В свою очередь Общество заявило встречные требования о признании недействительными соглашения от 30.03.2015 № 1 о выходе из Общества и соглашения от 03.04.2015 о новации в порядке статьи 414 Гражданского кодекса. Решением Арбитражного суда города Москвы от 12.03.2019, оставленным без изменения постановлением Девятого арбитражного апелляционного суда от 06.05.2019 и постановлением Арбитражного суда Московского округа от 19.08.2019, в удовлетворении первоначального иска отказано, встречные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приняв новое решение, ссылаясь на существенное нарушение судами норм материального и процессуального права. В обоснование доводов жалобы заявитель указывает, что судом не соблюден принцип равноправия сторон. По утверждению ФИО1, его заявление о выходе из состава участников Общества от 08.04.2015 было передано последнему во исполнение соглашения о новации от 03.04.2015 и является его неотъемлемой частью.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единственным участником Общества является ФИО2, генеральным директором – ФИО3 Ранее ФИО1 также являлся участником Общества, которому принадлежало 70,59% доли уставного капитала. Условиями соглашения от 30.03.2015 № 1, заключенным между ФИО1 и Обществом в лице генерального директора ФИО1, определено, что ФИО1 на дату выхода из состава участников юридического лица владеет 70,59% доли уставного капитала; размер чистых активов хозяйствующего субъекта по состоянию на 31.12.2014 составляет 96 829 000 рублей, в связи с чем размер действительной стоимости его доли составляет 68 351 591 рубль 10 копеек (пункты 1-5 соглашения). В соответствии с пунктом 6 соглашения Общество обязалось выплатить ФИО1 действительную стоимость доли в течение года с момента подписания настоящего соглашения. Судами установлено, что 03.04.2015 между Обществом в лице его генерального директора – ФИО1 и ФИО1 заключено соглашение о новации в порядке статьи 414 Гражданского кодекса, по условиям которого задолженность хозяйствующего субъекта перед участником по выплате действительной стоимости доли в размере 68 351 591 рубль 10 копеек прекращается путем новации в обязательства по договору займа с установлением процентов в размере ставки рефинансирования ЦБ РФ, со сроком возврата до 03.04.2018. Решением внеочередного общего собрания участников Общества от 08.04.2015 № 08-15 Белиловский А.А. выведен из состава участников юридического лица без выплаты действительной стоимости доли в соответствии с заявлением от 08.04.2015 о выходе из состава участников. В обоснование первоначального иска ФИО1 ссылается на то, что у Общества в связи с выходом истца из состава участников образовалась задолженность, которая до настоящего момента не погашена. В обоснование встречных требований Общество указывает на ничтожность обжалуемых сделок, как заключенных со злоупотреблением правами и в обход положений Федерального закона от 08.02.1998 № 14-ФЗ «Об обществах с ограниченной ответственностью» (далее – Закон № 14-ФЗ), поскольку уставом юридического лица запрещен выход участников из его состава без согласия остальных участников хозяйствующего субъекта, а также на то, что об обжалуемых сделках Общество и его оставшиеся участники не знали, решения об одобрении не принимали. Исследовав и оценив по правилам статьи 71 АПК РФ представленные доказательства, руководствуясь статьями 10 , 168 Гражданского кодекса, статьями 23, 26 Закона № 14-ФЗ, приняв во внимание разъяснения, приведенные в пункте 1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отказали в удовлетворении первоначального иска, удовлетворили встречные требования, установив, что спорные сделки были заключены без получения необходимого одобрения общего собрания хозяйствующего субъекта, указав на допущенное ФИО1 злоупотребление своими правами участника и генерального директора юридического лица, что выразилось в заключении соглашений в обход положений устава. Доводы кассационной жалобы, которые были предметом рассмотрения суда апелляционной инстанции и получили надлежащую правовую оценку,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Судьи дела: Чучунова Н.С. (судья) (подробнее)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