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29.12.2018 в удовлетворении иска отказано. Постановлением Девятого арбитражного апелляционного суда от 06.05.2019, оставленным без изменения постановлением Арбитражного суда Московского округа от 12.08.2019, решение отменено, иск удовлетворен. В кассационной жалобе общество «АЛПА Центрумс» просит об отмене судебных актов апелляционного и окружного судов как незаконных вследствие отсутствия нарушения, за которое применяется ответственность, игнорирования доводов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доказательства, апелляционный суд установил, что обязанность общества «АЛПА Центрумс» уплатить неустойку основана на указании его плательщиком в железнодорожной накладной № 1762374 и договоре от 18.12.2007 № 119жд с истцом, в котором общество определено лицом, являющимся плательщиком всех причитающихся перевозчику платежей. Постановление апелляционного суда соответствует договору и нормам Соглашения о международном железнодорожном грузовом сообщении. Неучастие в деле отправителя груза не влечет пересмотра судебных актов, учитывая самостоятельный характер его правоотношений с ответчиком. Вопрос об уменьшении неустойки обсуждался апелляционным судом и критериев для него, предусмотренных статьей 333 Гражданского кодекса Российской Федерации и ее судебным толкованием,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«АЛПА Центрумс»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