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Воронежской области от 29.04.2019 производство по делу прекращено за неподведомственностью арбитражному суду. Девятнадцатый арбитражный апелляционный суд постановлением от 25.06.2019 отменил определение от 29.04.2019 и направил дело на новое рассмотрение в Арбитражный суд Воронежской области. Арбитражный суд Центрального округа постановлением от 19.09.2019 постановление Девятнадцатого арбитражного апелляционного суда от 25.06.2019 оставил без изменения. В кассационной жалобе Главное управление Министерства внутренних дел Российской Федерации по Воронежской области просит об отмене судебных актов апелляционного и окружного судов как незаконных.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Истец осуществлял хранение вещественных доказательств по уголовному делу, возложенное на него органом дознания, что в силу статьи 886 Гражданского кодекса Российской Федерации оценено судами как возникновение правоотношений по хранению. Апелляционный суд правомерно признал, что неразрешенный в установленном порядке вопрос о возмещении процессуальных издержек не лишает истца права возмещение расходов, понесенных вследствие хранения, в рамках гражданского судопроизводства.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Главному управлению Министерства внутренних дел Российской Федерации по Воронежской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