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06.03.2019, оставленным без изменения постановлением Одиннадцатого арбитражного апелляционного суда от 07.06.2019, взыскано 6 379 610 рублей 13 копеек неустойки за несвоевременный возврат задолженности за период с 28.01.2017 по 18.10.2018 и 472 009 рублей 52 копеек неустойки за несвоевременную выплату процентов за период с 29.12.2016 по 18.10.2018. Арбитражный суд Поволжского округа постановлением от 14.08.2019 решение от 06.03.2019 и постановление Одиннадцатого арбитражного апелляционного суда от 07.06.2019 оставил без изменения. В кассационной жалобе акционерное общество «Аромат» просит об отмене указанных судебных актов, ссылаясь на неправильное определение периода начисления неустойки и неприменение статьи 404 Гражданского кодекса Российской Федерации.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Недействительная сделка не порождает последствий с момента ее совершения (пункт 1 статьи 167 Гражданского кодекса Российской Федерации), поэтому неустойка взыскана в соответствии с условиями обязательства, существовавшими до совершения признанной недействительной сделки. Нахождение банка в состоянии банкротства учтено судами при определении размера неустойки, поэтому довод о неприменении в связи с таким положением статьи 404 Гражданского кодекса Российской Федерации является неосновательным.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«Аромат»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 Судебная практика по: Признание сделки недействительной Судебная практика по применению нормы ст. 167 ГК РФ Признание договора недействительным Судебная практика по применению нормы ст. 167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