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за ее подачу.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Судом установлено, что к ходатайству об отсрочке уплаты государственной пошлины заявителем приложены документы, подтверждающие невозможность оплаты государственной пошлины при подаче кассационной жалобы, а именно: сведения налогового органа о наличии двух открытых банковских счетов в кредитной организации (расчетный и специальный), справки банка об остатках на счетах денежных средств и наличии неисполненных в срок распоряжений к расчетному счету.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На основании изложенного, руководствуясь статьями 184 ,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«Дружба» о предоставлении отсрочки уплаты государственной пошлины удовлетворить. Предоставить обществу с ограниченной ответственностью «Дружба» отсрочку уплаты государственной пошлины сроком до окончания производства по кассационной жалобе. Судья Верховного Суда Российской Федерации М.К. Антонова Суд: Верховный Суд РФ (подробнее) Судьи дела: Антонова М.К. (судья) (подробнее) Последние документы по делу: Определение от 13 декабря 2019 г. по делу № А07-25131/2018 Определение от 23 октября 2019 г. по делу № А07-25131/2018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