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10.06.2019, принятым в порядке упрощенного производства и оставленным без изменения постановлением Девятого арбитражного апелляционного суда от 28.08.2019, иск удовлетворен. В кассационной жалобе банк просит об отмене судебных актов как незаконных, ссылаясь на ограничение суммы, подлежащей уплате банком в пользу бенефициара по банковской гарантии, а также неправомерность взыскания процентов за пользование чужими денежными средствами вместо предусмотренной условиями гарантии неустойки.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Довод заявителя о неправомерном взыскании процентов за пользование чужими денежными средствами неоснователен, поскольку ограничение суммы, подлежащей уплате банком в пользу бенефициара по банковской гарантии за нарушение обязательств принципалом, не означает ограничения ответственности гаранта за невыполнение собственного обязательства по гарантии (пункт 2 статьи 377 Гражданского кодекса Российской Федерации), не установленного судом по рассматриваемой гарантии. Поскольку сумма взысканных процентов не превышает размера предусмотренной условиями гарантии неустойки, то неправильная квалификация истцом ответственности за неисполнение обязательства не является основанием для отказа в ее применении.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«Акционерный коммерческий банк «Проминвестбанк»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