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26.06.2019, принятым в порядке упрощенного производства и оставленным без изменения постановлением Тринадцатого арбитражного апелляционного суда от 13.09.2019, в удовлетворении иска отказано вследствие отсутствия установленных законом условий для взыскания убытков. В кассационной жалобе предприятие просит об отмене указанных судебных актов как незаконных, ссылаясь на ненадлежащее исследование обстоятельств причинения вреда.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представленные доказательства не подтверждают причастности ответчика к повреждению транспортного средства и связи заявленных убытков с исполнением ответчиком функций управления многоквартирным жилым домом, в связи с чем в применении последствий, предусмотренных статьями 15 , 1064 Гражданского кодекса Российской Федерации, обоснованно отказали.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Санкт-петербургскому государственному унитарному предприятию дачного обслуживания «Пригородное»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