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«Строительная компания «Империя» (далее – компания) обратилось в суд с заявлением о включении в реестр требований кредиторов требования в размере 10 675 317 рублей. Определением Арбитражного суда города Санкт-Петербурга и Ленинградской области от 07.09.2018 заявление удовлетворено. Постановлением Тринадцатого арбитражного апелляционного суда от 29.04.2019, оставленным без изменения постановлением Арбитражного суда Северо-Западного округа от 21.08.2019, вышеуказанное определение отменено в части признания обоснованным и включения в реестр требования компании в размере 2 853 450 рублей. В данной части принят новый судебный акт об отказе в удовлетворении названного требования. В остальной части определение суда первой инстанции от 07.09.2018 оставлено без изменения. В кассационной жалобе, поданной в Верховный Суд Российской Федерации, заявитель просит полностью отменить определение суда первой инстанции, постановления судов апелляционной инстанции и округа в части удовлетворённых требований компании,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391, 807 Гражданского кодекса Российской Федерации, статей 71,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наличия неисполненных должником обязательств перед компанией и, как следствие, оснований для включения её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Трифонову Максиму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