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04.07.2019, оставленным без изменения постановлением Седьмого арбитражного апелляционного суда от 13.09.2019, в удовлетворении требований отказано. В кассационной жалобе, поступившей в Верховный Суд Российской Федерации, фонд просит отменить указанные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Отказывая фонду в удовлетворении требований, суды руководствовались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и исходили из недоказанности причинно-следственной связи между фактом причинения убытков и действиями страхователя по предоставлению сведений индивидуального (персонифицированного) учета за апрель 2018 года. При этом суды указали, что на момент принятия решения о выплате сумм страховой пенсии и фиксированной выплаты к ней и распоряжения о перерасчете размера пенсии фонд располагал сведениями об осуществлении пенсионером трудовой деятельности. Указанные выводы судов в жалобе фондом не опровергнуты.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