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«Ирбис-консалт» (далее – общество) обратилось в суд с заявлением о включении в реестр требований кредиторов требования в размере 1 635 512 рублей. Определением Арбитражного суда города Санкт-Петербурга и Ленинградской области от 28.09.2018, оставленным без изменения постановлениями Тринадцатого арбитражного апелляционного суда от 06.05.2019 и Арбитражного суда Северо-Западного округа от 19.08.2019, заявление удовлетворено. В кассационной жалобе, поданной в Верховный Суд Российской Федерации, заявитель просит отменить указанные судебный акты и направить обособленный спор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обособленный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382, 384, 391 Гражданского кодекса Российской Федерации, статей 71, 100 Федерального закона от 26.10.2002 № 127-ФЗ «О несостоятельности (банкротстве)», позицией, изложенной в пункте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исходили из наличия неисполненных должником обязательств перед обществом и, как следствие, оснований для включения его требования в реестр.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Трифонову Максиму Васильевичу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