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ФИО2, ФИО3 и ФИО1 (далее – кредиторы) обратились в суд с заявлением, в котором просили включить в реестр требований кредиторов должника свои требования на суммы 153 585 рублей, 350 150 рублей и 50 150 рублей соответственно. Определением Арбитражного суда Челябинской области от 24.05.2019, оставленным без изменения постановлениями Восемнадцатого арбитражного апелляционного суда от 29.07.2019 и Арбитражного суда Уральского округа от 02.10.2019, требования кредиторов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руководствуясь абзацем вторым пункта 4 статьи 134 Федерального закона от 26.10.2002 № 127-ФЗ «О несостоятельности (банкротстве)» (в редакции Федерального закона от 29.06.2015 № 186-ФЗ «О внесении изменений в отдельные законодательные акты Российской Федерации»), исходили из того, требование о компенсации морального вреда исключено законодателем из числа требований, подлежащих включению в первую очередь, в связи с чем, обоснованно включили требования кредиторов в третью очередь реестра.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