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10.12.2018 с общества в пользу предпринимателя взыскано 4 001 575 руб. неосновательного обогащения, 182 565 руб. 01 коп. процентов за пользование чужими денежными средствами, проценты за пользование чужими денежными средствами, начиная с 04.12.2018 по день фактического погашения задолженности, 30 000 руб. расходов на оплату услуг представителя. Постановлением Двенадцатого арбитражного апелляционного суда от 03.04.2019 решение суда первой инстанции отменено, в удовлетворении исковых требований отказано. Постановлением Арбитражного суда Поволжского округа от 13.08.2019 постановление суда апелляционной инстанции оставлено без изменения. В кассационной жалобе, поданной в Верховный Суд Российской Федерации, предприниматель,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исковые требования мотивированы наличием на стороне общества неосновательного обогащения в виде стоимости услуг по аренде спецтехники, оказанных предпринимателем на основании устной заявки уполномоченных лиц ответчика.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статьей 1102 Гражданского кодекса Российской Федерации, суд апелляционной инстанции, с которым согласился суд округа, пришел к выводу об отсутствии оснований для удовлетворения исковых требований, исходя из недоказанности факта оказания спорных услуг.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