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13.12.2018 исковые требования удовлетворены. Постановлением Восемнадцатого арбитражного апелляционного суда от 28.05.2019 принят отказ общества «Маис» от иска в части взыскания 390 206 руб. 18 коп. процентов за пользование чужими денежными средствами, решение суда в указанной части отменено, производство по делу в данной части прекращено; в остальной части решение суда оставлено без изменения. Постановлением Арбитражного суда Уральского округа от 10.10.2019 постановление суда апелляционной инстанции оставлено без изменения. В кассационной жалобе, поданной в Верховный Суд Российской Федерации, общество «Статус»,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исковые требования мотивированы ненадлежащим исполнением обществом «Статус» обязательств по оплате работ, выполненных обществом «Маис» в рамках договора генерального подряда от 06.03.2017 № 2.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711, 720, 746, 753 Гражданского кодекса Российской Федерации, пришли к выводу о наличии оснований для взыскания с общества «Статус» испрашиваемой задолженности, исходя из подтвержденности факта выполнения обществом «Маис» спорных работ и отсутствия доказательств их оплаты.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«Статус»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