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Амурской области от 06.03.2019, оставленным без изменения постановлением Шестого арбитражного апелляционного суда от 05.06.2019 и постановлением Арбитражного суда Дальневосточного округа от 30.08.2019, заявленное требование удовлетворено частично, решение инспекции признано недействительным по эпизоду, связанному с начислением за 2014-2015 годы налога на прибыль, соответствующих пеней и штрафа по основанию завышения расходов по статье заработная плата за счет отражения на счетах бухгалтерского учета, участвующих при формировании себестоимости продукции, сформированного в целях бухгалтерского учета резерва на оплату отпусков. В удовлетворении требования в остальной части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в части отказа в удовлетворении требования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проведена выездная налоговая проверка общества, по результатам которой составлен акт и принято решение о привлечении к ответственности за совершение налогового правонарушения. Данным решением обществу доначислено 8 355 771 рублей налога на прибыль, 6 240 рублей транспортного налога и 391 988 рублей налога на имущество, начислено 2 358 267 рублей 09 копеек и 218 849 рублей 98 копеек штрафов по данным налогам (с учетом решения вышестоящего налогового органа). Считая решение инспекции незаконным, общество обратилось в арбитражный суд. Удовлетворяя частично заявленное требование, суды исходили из того, что решение инспекции в части доначисления налога на прибыль за 2014-2015 годы по основанию учета в составе расходов резерва на оплату отпусков, является необоснованным и документально не подтвержденным. Рассматривая спор в остальной части, суды трех инстанций, руководствуясь положениями статей 247 , 252 , 257 , 260 , 270 , 375 Налогового кодекса Российской Федерации (далее – Налоговый кодекс), Классификацией основных средств, включаемых в амортизационные группы, утвержденной постановлением Правительства Российской Федерации от 01.01.2002 № 1, Положением по бухгалтерскому учету «Учет основных средств» ПБУ 6/01, утвержденным приказом Министерства финансов Российской Федерации от 30.03.2001 № 26н, пришли к выводу о наличии у инспекции правовых оснований для доначисления налога на прибыль и налога на имущество, соответствующих пеней и штрафов по основанию переквалификации работ по капитальному ремонту железнодорожных путей и замене стрелочных переводов на работы по реконструкции. Судебные инстанции исходили из того, что фактически обществом произведено строительство нового железнодорожного полотна на месте устаревших, изношенных и непригодных для эксплуатации объектов основных средств, при этом произведенные работы были направлены и привели к увеличению срока полезного использования объекта основных средств. При таких обстоятельствах спорные работы отвечают признакам технического перевооружения, предусмотренного пунктом 2 статьи 257 Налогового кодекса, расходы по которому не подлежат учету при определении налоговой базы на основании пункта 5 статьи 270 Налогового кодекса. Доводы, изложенные в кассационной жалобе, в том числе о том, что спорные работы являются капитальным ремонтом железнодорожных путей и стрелочных переводов, о неправомерной переквалификации работ по реконструкции в работы по техническому вооружению, являлись предметом рассмотрения судов и получили правовую оценку с учетом установленных обстоятельств дела. Приведенные доводы не опровергают выводы судов, не подтверждают существенных нарушений норм материального и процессуального права, повлиявших на исход дела, и не могут служить основанием для отмены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«Амурский уголь»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