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«Продторг» обратилось в Арбитражный суд Республики Башкортостан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Страховая компания «ВТБ Страхование» 1 292 370 рублей страхового возмещения, 108 205 рублей процентов за пользование чужими денежными средствами, а также 94 000 рублей расходов на проведение экспертизы ущерба. К участию в деле в качестве третьих лиц, не заявляющих самостоятельных требований относительно предмета спора, привлечены открытое акционерное общество Управление жилищного хозяйства Калининского района городского округа город Уфа Республики Башкортостан, общество с ограниченной ответственностью «Жилищно-эксплуатационное управление № 25», Управление земельных и имущественных отношений Администрации городского округа город Уфа Республики Башкортостан, общество с ограниченной ответственностью «Альянс-Профит». Решением Арбитражного суда Республики Башкортостан от 07.03.2019 в удовлетворении иска отказано. Постановлением Восемнадцатого арбитражного апелляционного суда от 04.06.2019 решение суда первой инстанции оставлено без изменения. Арбитражный суд Уральского округа постановлением от 26.09.2019 указанные судебные акты оставил без изменения. Общество с ограниченной ответственностью «Продторг»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экспертные заключения,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 929 , 943 Гражданского кодекса Российской Федерации, суды пришли к выводу о недоказанности истцом размера заявленного ущерба. При этом судами учтено, что страховщиком было выплачено истцу страховое возмещение, с учетом франшизы, размер которого определен экспертами ООО «Аварийный комиссар». Оценив отчет от 25.07.2017 № 1055/2017, суды пришли к выводу о том, что он соответствует требованиям статей 82 , 83 , 86 Арбитражного процессуального кодекса Российской Федерации, выводы экспертов в совокупности носят последовательный непротиворечивый характер, иными доказательствами выводы экспертов не опровергнуты. Судами не принят акт экспертизы общества «Защита» в качестве надлежащего и допустимого доказательства по делу в связи с тем, что сделанные экспертом выводы по поставленным вопросам носят вероятностный характер, однозначных причин возникновения повреждений на оборудовании истца в заключении не установлено, при определении стоимости восстановительного ремонта оборудования эксперт не установил факт повреждения всех элементов исследуемого оборудования, общая диагностика работоспособности игрового оборудования экспертом не произведена. Доводы жалобы о несогласии с выводами, изложенными в экспертном заключении (отчете), с учетом установленных судами фактических обстоятельств их выводы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обжалуемых судебных актов, а также нарушений, которые могли привести или привели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«Продторг»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