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обратилась в суд с заявлением об исключении из конкурсной массы квартиры, расположенной по адресу: Республика Крым, г. Ялта, пгт. Массандра, ул. Стахановская. Определением Арбитражного суда Республики Крым от 12.03.2019, оставленным без изменения постановлениями Двадцать первого арбитражного апелляционного суда от 28.05.2019 и Арбитражного суда Центрального округа от 22.08.2019,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Исключая имущество из конкурсной массы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446 Гражданского процессуального кодекса Российской Федерации, статьёй 213.25 Федерального закона от 26.10.2002 № 127-ФЗ «О несостоятельности (банкротстве), исходили из того, что оно является единственным пригодным для постоянного проживания должника и членов его семьи, не было предметом договорной или законной ипотеки, в связи с чем, на него не может быть обращено взыскание по требованиям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Крокину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