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25.12.2018, оставленным без изменения постановлением Первого арбитражного апелляционного суда от 24.04.2019 и постановлением Арбитражного суда Волго-Вятского округа от 12.08.2019, заявленное требование удовлетворено частично, решение инспекции признано недействительным в части доначисления 478 220 рублей НДС, соответствующих сумм пеней и штрафа. В удовлетворении заявления в остальной части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в части отказа в признании решения инспекции недействительным и удовлетворить требование в данной части.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основанием для начисления 15 548 586 рублей НДС, соответствующих сумм пеней и штрафа послужил вывод налогового органа о занижении обществом налоговой базы в связи с неправомерным применением налоговых вычетов на основании документов, выставленных от имени ООО «Авангард» по договору на оказание транспортно-экспедиционных услуг по перевозке грузов автомобильным транспортом. Признавая решение инспекции в указанной части законным, суды, оценив представленные в материалы дела доказательства, руководствуясь положениями статей 169 , 171 , 172 Налогового кодекса Российской Федерации, разъяснениями,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пришли к выводу о доказанности создания обществом с заявленным контрагентом формального документооборота, направленного на получение из бюджета необоснованной налоговой выгоды в виде неправомерного применения налоговых вычетов по НДС. Судебные инстанции исходили из представления обществом первичных документов, содержащих недостоверные сведения и не подтверждающих реальность хозяйственных операций с ООО «Авангард». При этом суды указали на заключение договора на следующий день после регистрации ООО «Авангард» в отсутствие у данного контрагента ресурсов, необходимых для оказания транспортно-экспедиционных услуг, а также расходов, характерных для осуществления предпринимательской деятельности. Вместе с тем, поступившие на расчетный счет ООО «Авангард» денежные средства с учетом НДС, перечисляются без выделения налога в адрес организации и физических лиц, не являющихся плательщиками данного налога. Доводы, изложенные в кассационной жалобе, являлись предметом рассмотрения судов, не опровергают их выводы и не подтверждают существенных нарушений норм материального права и норм процессуального права, повлиявших на исход дела. По существу доводы жалобы направлены на переоценку доказательств и установление по делу иных фактических обстоятельств, что не может служить основанием для передачи жалобы на рассмотрение в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«ГлобэксАвтоТранс»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