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16.04.2019, оставленным без изменения постановлением Пятого арбитражного апелляционного суда от 14.06.2019, в удовлетворении заявленного требования отказано. Постановлением Арбитражного суда Дальневосточного округа от 11.09.2019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судами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поскольку общество совершило операцию по приему от физического лица - нерезидента наличных денежных средств в валюте РФ, минуя счета в уполномоченном банке.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резидентом валютной операции по выдаче (отчуждению) в пользу физических лиц - нерезидентов, либо получению от них валюты Российской Федерации, минуя счета в уполномоченных банках, валютным законодательством Российской Федерации не предусмотрена, в перечень исключений такая операция не входит. Суды признали, что процедура привлечения к административной ответственности не нарушена, срок давности привлечения к ответственности соблюден, штраф назначен ниже низшего размера санкции нормы, оснований для применения положений статей 2.9 и 4.1.1 Кодекса Российской Федерации об административных правонарушениях не имеется. Изложенные в жалобе доводы приводились при рассмотрении дела, получили надлежащую правовую оценку судов, и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