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«ЭнСол Бэттери Инк.» обратилась в Арбитражный суд города Москвы с иском о взыскании с общества с ограниченной ответственностью «ЭнСолТех» 1 061 010 рублей 58 копеек предварительной оплаты. Решением Арбитражного суда города Москвы от 02.04.2019 в удовлетворении иска отказано. Постановлением Девятого арбитражного апелляционного суда от 17.07.2019 решение суда первой инстанции оставлено без изменения. Арбитражный суд Московского округа постановлением от 10.10.2019 названные судебные акты оставил без изменения. Компания «ЭнСол Бэттери Инк.» обратилась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454 , 506 , 516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учитывая обстоятельства, установленные по делу № А40-14783/18, суды пришли к выводу о неисполнении самим истцом обязательств по обеспечению перевозки приобретаемого товара, в том числе его таможенной очистке.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«ЭнСол Бэттери Инк.»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