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в лице Южно-Уральской железной дороги – филиала ОАО «РЖД» обратилось в Арбитражный суд Челябинской области с иском о взыскании с общества с ограниченной ответственностью «Ресурс» 991 505 рублей штрафа за искажение в транспортной железнодорожной накладной наименования груза. Решением Арбитражного суда Челябинской области от 24.05.2019 иск удовлетворен. Постановлением Восемнадцатого арбитражного апелляционного суда от 14.08.2019 решение суда первой инстанции отставлено без изменения. Арбитражный суд Уральского округа постановлением от 06.11.2019 указанные судебные акты оставил без изменения. Общество с ограниченной ответственностью «Ресурс»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784 , 785 , 793 Гражданского кодекса Российской Федерации, статьей 98 Федерального закона от 10.01.2003 № 18-ФЗ «Устав железнодорожного транспорта Российской Федерации», суды пришли к выводу о доказанности искажения в транспортной железнодорожной накладной наименования груза, признав соразмерным начисленный штраф последствиям нарушения обязательства и отсутствие оснований для применения положений статьи 333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