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иском к ФИО1, ФИО2, ФИО3, ФИО4 (далее – ответчики, контролирующие должника лица) о привлечении к субсидиарной ответственности по обязательствам общества с ограниченной ответственности «Дальстрой» (далее – должник) и взыскании с них 15 133 519 рублей 01 копейки. Решением Арбитражного суда Амурской области от 25.02.2019, оставленным без изменении постановлениями Шестого арбитражного апелляционного суда от 22.05.2019 и Арбитражного суда Дальневосточного округа от 30.08.2019, в иске отказано.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либо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положениями статей 9, 10, 61.11-61.14, 61.19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того, что в спорный период должник осуществлял нормальную хозяйственную деятельность (совершал сделки и платёжные операции по ним, выполнял обязательства, оплачивал налоги и страховые взносы), не обладал признаками неплатёжеспособности, а конкурсному управляющему была передана вся необходимая документация. При указанных обстоятельствах суды пришли к выводу о недоказанности всей совокупности условий, необходимых для привлечения ответчиков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«РФП Лесозаготовка»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