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08.04.2019, оставленным без изменения постановлением Семнадцатого арбитражного апелляционного суда от 15.07.2019 и постановлением Арбитражного суда Уральского округа от 16.10.2019,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(заказчик) и министерством в соответствии с извещением № 0156200009918000265 проводился электронный аукцион на поставку товара - автогрейдера тяжелого класса с бульдозерным отвалом и боковым грейдерным отвалом для нужд учреждения. В антимонопольный орган 13.07.2018 поступила жалоба общества на положение документации об электронном аукционе. По результатам рассмотрения жалобы управлением вынесено решение, согласно которому в действиях заказчика установлено нарушение пункта 1 части 1 статьи 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и выдано предписание о внесении изменений в аукционную документацию и извещение о проведении электронного аукциона, продлении срока подачи заявок на участие в электронном аукционе. Не согласившись с ненормативными актами антимонопольного органа, общество обратилось в арбитражный суд. Удовлетворяя заявленные требования, суды трех инстанций, оценив представленные в материалы дела доказательства, руководствуясь положениями Закона о контрактной системе, учитывая правовую позицию, изложенную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том, что оспоренные решение и предписание управления не соответствуют действующему законодательству и нарушают права и законные интересы заявителя. Суды исходили из того, что заказчик, формируя требования к характеристикам товара, определил их с учетом своих потребностей, обусловленных спецификой участков автомобильных дорог в регионе. При этом судами указано, что перед объявлением спорной закупки заказчиком проведено исследование наличия (отсутствия) аналогов российской техники исходя из потребностей, обусловленных спецификой автомобильной дороги, на которой в дальнейшем будет эксплуатироваться товар (автогрейдер тяжелого класса). Таким образом, формируя требования к характеристикам товара, учреждение определило свои потребности с учетом специфики деятельности, места ее осуществления и имеющейся с учетом этого необходимости закупки конкретного товара, позволяющего реализовывать потребности заказчика надлежащим образом. Доводы управления, изложенные в кассационной жалобе, являлись предметом рассмотрения судов, не опровергают их выводов,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