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08.02.2019 в удовлетворении иска отказано. Девятый арбитражный апелляционный суд постановлением от 23.05.2019 отменил решение от 08.02.2019 и взыскал 10 743 884 рублей 54 копейки неосновательного обогащения, отказав в удовлетворении иска в остальной части. Арбитражный суд Московского округа постановлением от 12.08.2019 постановление Девятого арбитражного апелляционного суда от 23.05.2019 оставил без изменения. В кассационной жалобе банк просит об отмене судебных актов апелляционного и окружного судов как незаконных, ссылаясь на заведомо недобросовестное и противоправное поведение истца, исключающее уменьшение ответственности.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Таких оснований в связи с доводами жалобы не усматривается. Суд апелляционной инстанции в пределах повторного рассмотрения дела компетентен на определение правового характера согласованной сторонами комиссии и оценку действий сторон в рамках исполнения договора о предоставлении комплексного банковского обслуживания от 26.12.2016 № ДБС14/020956, изменение которых в связи с доводами жалобы не составляет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