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10.12.2018, оставленным без изменения постановлением Семнадцатого арбитражного апелляционного суда от11.04.2019 и постановлением Арбитражного суда Уральского округа от 04.09.2019, с компании в пользу предпринимателя взыскано 991 504 руб. 17 коп. долга, 253 270 руб. 10 коп. процентов за пользование чужими денежными средствами, в удовлетворении остальной части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исковые требования мотивированы неисполнением компанией обязательств по оплате выполненных предпринимателем работ в рамках договора подряда от 01.10.2014 № 14-74К.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328, 395, 421, 431, 702, 711, 753 Гражданского кодекса Российской Федерации, пришли к выводу о наличии оснований для частичного удовлетворения исковых требований (с учетом корректировки расчета процентов). В частности, суды исходили из подтвержденности факта выполнения предпринимателем работ, передачи из результата компании и отсутствия доказательств оплаты. С указанными выводами впоследствии согласился суд округа. Доводы заявителя о пропуске срока исковой давности являлись предметом рассмотрения судебных инстанций и получили правовую оценку.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жилищная компания «Радомир-Инвест»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