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города Москвы решением от 19.09.2018, оставленным без изменения постановлением Девятого арбитражного апелляционного суда от 11.12.2018 и постановлением Арбитражного суда Московского округа от 26.02.2019, ликвидировал общество, возложил обязанность по его ликвидации на Адамова Николая Викторовича, установил срок для предоставления в суд утвержденного ликвидационного баланса 3 и завершения ликвидационной процедуры - в течение шести месяцев с момента вступления решения суда в законную силу. В суд первой инстанции 20.05.2019 поступило заявление компании об утверждении мирового соглашения, заключенного между ней и обществом. Определением Арбитражного суда города Москвы от 03.07.2019 мировое соглашение утверждено, производство по делу прекращено. Кредитор общества – Иванов Михаил Владимирович (далее – Иванов М.В.) обратился в Арбитражный суд Московского округа с кассационной жалобой на указанное определение. Арбитражный суд Московского округа постановлением от 15.10.2019 отменил определение суда первой инстанции и направил вопрос об утверждении мирового соглашения на новое рассмотрение в Арбитражный суд города Москвы. В кассационных жалобах, поданных в Верховный Суд Российской Федерации, общество и компания просят отменить постановление суда округа, ссылаясь на его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определение об утверждении мирового соглашения и направляя вопрос на новое рассмотрение, суд округа, не принимая какого-либо решения по существу спора, сославшись на положения статей 138, 139, 141 Арбитражного процессуального кодекса Российской Федерации, разъяснения, приведенные в пункте 24 постановления Пленума Высшего Арбитражного Суда Российской Федерации от 22.06.2012 № 35 «О некоторых вопросах, связанных с рассмотрением дел о банкротстве», указал на необходимость исследования судом обстоятельств, имеющих значение для правильного разрешения вопроса о возможности утверждения мирового соглашения, и проверки доводов Иванова М.В., как кредитора общества в деле о несостоятельности (банкротстве) последнего (№ А40-255650/2018). Доводы кассационных жалоб не свидетельствуют о существенном нарушении судом норм права при принятии обжалуемого судебного акта, в связи с чем основания для передачи жалоб для рассмотрения в судебном заседании отсутствуют. 4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акционерного общества «Корпорация «Нечерноземагропромстрой» и открытого акционерного общества «Энергетическая Русская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