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20.02.2019, оставленным без изменения постановлением Третьего арбитражного апелляционного суда от 15.05.2019, общество привлечено к ответственности по части 15 статьи 19.5 Кодекса Российской Федерации об административных правонарушениях и ему назначено наказание в виде штрафа в размере 300 000 рублей. Постановлением Арбитражного суда Восточно-Сибирского округа от 25.09.2019 указанные судебные акты отменены, в удовлетворении заявленного требования отказано. Административный орган обратился в Верховный Суд Российской Федерации с кассационной жалобой, в которой просит постановление суда округа отменить, ссылаясь на допущенные судом существенные нарушения норм материального и процессуального права. При изучении доводов жалобы и принятых по делу судебных актов таких оснований не установлено. Как следует из судебных актов, основанием для составления протокола и обращения в суд с соответствующим заявлением послужил выявленный административным органом факт невыполнения обществом в установленный срок (до 01.10.2018) законного предписания уполномоченного органа по соблюдению требований технических регламентов. Отменяя решение суда первой и постановление суда апелляционной инстанций, суд округа расценил неисполнение предписания как правонарушение, направленное против порядка управления, в связи с чем признал пропуск установленного частью 1 статьи 4.5 Кодекса Российской Федерации об административных правонарушениях трехмесячного срока давности привлечения общества к административной ответственности на момент рассмотрения дела в суде. Выводы суда округа не противоречат правовой позиции, изложенной в определении Конституционного Суда Российской Федерации от 26.03.2019 № 823-О. Обжалуя судебные акты в Верховный Суд Российской Федерации, административный орган приводит доводы, которые являлись предметом рассмотрения суда округа и получили надлежащую правовую оценку применительно к установленным обстоятельствам, связанным с вмененным обществу административным правонарушением против порядка управления. С учетом изложенного приведенные административным органом в жалобе доводы не свидетельствуют о существенных нарушениях судом апелляционной инстанции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