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28.01.2019, оставленным без изменения постановлением Четвертого арбитражного апелляционного суда от 16.05.2019, взыскано 3 796 778 рублей убытков и 30 000 рублей расходов на услуги представителя. Арбитражный суд Восточно-Сибирского округа постановлением от 29.07.2019 решение от 28.01.2019 и постановление Четвертого арбитражного апелляционного суда от 16.05.2019 оставил без изменения. В кассационной общество «Черемховский литейно-механический завод» просит об отмене судебных актов вследствие неустановления условий для взыскания убытков и игнорирования доводов ответчика.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 спора были предметом исследования и оценки судов, установивших наличие необходимых в силу статей 901, 902 Гражданского кодекса Российской Федерации условий для взыскания убытков вследствие ненадлежащего исполнения ответчиком договора хранения от 13.03.2017 № 1, выразившегося в утрате части хранимого имущества. Вина не является основанием ответственности в предпринимательских отношениях (пункт 3 статьи 401 Гражданского кодекса Российской Федерации), поэтому установления ее в действиях ответчика не требовалось. Неисполнение истцом обязательства принять с хранения имущество после истечения срока действия договора может повлечь последствия, предусмотренные пунктом 2 статьи 899 Гражданского кодекса Российской Федерации, но обстоятельством, освобождающим от ответственности за несохранность имущества не является. Учитывая, что жалоба удовлетворению не подлежит, основания для приостановления исполнения судебных актов, о котором просил ее податель,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«Черемховский литейно-механический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