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02.12.2019 с ходатайством о восстановлении срока на обжалование, в котором общество указывает на отсутствие вины в пропуске срока, произошедшем из-за необходимости запроса в суде заверенных копий решения и постановления апелляционной инстанции. В силу частей 1, 2 статьи 291.2 Арбитражного процессуального кодекса Российской Федерации (далее – Кодекс)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Как следует из представленных документов, окружной суд разослал постановление от 27.09.2019, с принятием которого связывается исчисление срока на кассационное обжалование, 01.10.2019 – в установленный частью 4 статьи 289 Кодекса срок. Кроме того,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 и с этого момента доступно для ознакомления и подготовки жалобы. На общество возложены обязанность самостоятельного ознакомления с движением дела через любые источники и средства связи и последствия бездействия в вопросе ознакомления (часть 6 статьи 121 Кодекса). В такой ситуации у общества отсутствовали объективные препятствия для своевременной подачи кассационной жалобы. Ожидание копий судебных актов не создает оснований для восстановления срока, поэтому в связи с ним срок восстановлению не подлежит.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«МеталлСтройСнаб» в восстановлении срока подачи кассационной жалобы на решение Арбитражного суда Челябинской области от 04.03.2019 по делу № А76-31958/2018, постановление Восемнадцатого арбитражного апелляционного суда от 29.05.2019 и постановление Арбитражного суда Уральского округа от 27.09.2019 по тому же делу. Возвратить обществу с ограниченной ответственностью «МеталлСтройСнаб» кассационную жалобу. Возвратить обществу с ограниченной ответственностью «МеталлСтройСнаб» из федерального бюджета 3 000 (три тысячи) рублей государственной пошлины, уплаченной за подачу кассационной жалобы платежным поручением от 22.11.2019 № 354. Судья Верховного Суда Российской Федерации Н.А. Ксенофонтова Суд: Верховный Суд РФ (подробнее) Истцы: ООО "Металлстройснаб" (подробнее) Ответчики: АО Страховое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