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24.06.2019, оставленным без изменения постановлением Одиннадцатого арбитражного апелляционного суда от 15.08.2019, заявленные требования удовлетворены. Антимонопольный орган обратился в Верховный Суд Российской Федерации с кассационной жалобой, в которой просит указанные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установленные обстоятельства, свидетельствующие, что общество работы по капитальному ремонту общего имущества многоквартирных жилых домов города Набережные Челны в установленный срок в полном объеме не завершило, какие-либо дополнительные соглашения, в том числе о продлении срока выполнения работ, заключены не были. Частью 9 статьи 7.32.4 Кодекса Российской Федерации об административных правонарушениях предусмотрена административная ответственность за изменение организатором обязательных в соответствии с законодательством Российской Федерации торгов, продавцом государственного или муниципального имущества, а также лицом, являющимся стороной договора, условий договора при его заключении или исполнении, установленных в документации о таких торгах, извещении о проведении торгов, информационном сообщении о продаже государственного или муниципального имущества, проектах договоров, по соглашению сторон или в одностороннем порядке в случае, если федеральным законом предусмотрен запрет такого изменения, за исключением случаев, предусмотренных статьей 7.32 настоящего Кодекса.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услуг для обеспечения государственных и муниципальных нужд», Жилищного кодекса Российской Федерации, Гражданского кодекса Российской Федерации, суды пришли к выводу о недоказанности антимонопольным органом в действиях (бездействии) общества состава правонарушения, ответственность за которое установлена частью 9 статьи 7.32.4 Кодекса Российской Федерации об административных правонарушениях. При этом суды исходили из того, что в рассматриваемом случае имеет место не изменение условий договора, а нарушение срока исполнения договора; при этом заказчиком в адрес общества была направлена претензия о необходимости исполнения обязательств по договору и оплате штрафных санкций за нарушение срока исполнения договора. Указанные выводы судов в жалобе не опровергнуты. Поскольку все юридически значимые обстоятельства при рассмотрении дела об административном нарушении, имеющие существенное значение для разрешения спора, установлены судом на основании полного и всестороннего исследования имеющихся в деле доказательств, которым дана оценка, оснований для удовлетворения жалобы и отмены или изменения обжалуемых судебных актов не имеется.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"ВолгоПромСтрой", г.Набережные Челны (подробнее) Ответчики: Управление Федеральной антимонопольной службы по Республике Татарстан, г.Казань (подробнее) Иные лица: Одиннадцатый арбитражный апелляционный суд, г.Самара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