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оценив изложенные в нем доводы, суд считает его подлежащим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«Главное военно-строительное управление № 14» удовлетворить. Срок подачи кассационной жалобы на постановление Тринадцатого арбитражного апелляционного суда от 22.05.2019 и постановление Арбитражного суда Северо-Западного округа от 08.10.2019 по делу № А56-140340/2018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