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обратился в Верховный Суд Российской Федерации с кассационной жалобой, одновременно ходатайствуя о восстановлении пропущенного срока её подачи. Рассмотрев ходатайство о восстановлении процессуального срока, суд находит его обоснованным, документально подвержённым и подлежащим удовлетворению. Руководствуясь статьями 117, 184, 291.2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срок подачи кассационной жалобы на постановление Четырнадцатого арбитражного апелляционного суда от 07.06.2019 и постановление Арбитражного суда Северо-Западного округа от 30.08.2019 по делу № А05-14307/2017 Арбитражного суда Архангельской области восстановить. Судья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