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18.03.2019, оставленным без изменения постановлением Семнадцатого арбитражного апелляционного суда от 26.06.2019 и постановлением Арбитражного суда Уральского округа от 09.09.2019, иск удовлетворен. В кассационной жалобе, поданной в Верховный Суд Российской Федерации, управление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установив, что торги, за участие в которых предпринимателем внесен задаток, признаны несостоявшимися, руководствуясь статьями 15 , 308 , 447 , 448 , 449 , 449.1 , 971 , 974 Гражданского кодекса Российской Федерации, пунктами 3.1, 6.2, 10.3 Методических рекомендаций по вопросам организации продажи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утвержденных Росимуществом 11.04.2014, пришли к выводу о наличии оснований для возврата предпринимателю перечисленного задатка.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рассмотрению не подлежит.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Краснодарском крае и Республике Адыгея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