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декабря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Республики Башкортостан от 15.04.2019, оставленным без изменения постановлением Восемнадцатого арбитражного апелляционного суда от 11.07.2019 и постановлением Арбитражного суда Уральского округа от 17.10.2019, исковые требования удовлетворены. В кассационной жалобе, поданной в Верховный Суд Российской Федерации, администрация просит отменить указанные судебные акты, ссылаясь на их незаконность.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прав, свобод, законных интересов заявителя в сфере предпринимательской и иной экономической деятельности, а также защита охраняемых законом публичных интересов. Между тем таких оснований по результатам изучения состоявшихся по делу судебных актов и доводов кассационной жалобы не установлено. Суды первой и апелляционной инстанций, оценив по правилам статьи 71 Арбитражного процессуального кодекса Российской Федерации представленные в материалы дела доказательства, руководствуясь статьями 329 , 330 , 720 , 779 , 781 , 783 Гражданского кодекса Российской Федерации, установив факт неисполнения ответчиком обязательств по оплате оказанных истцом услуг в рамках муниципальных контрактов, пришли к выводу о наличии оснований для удовлетворения заявленных требований. С указанными выводами впоследствии согласился суд округа. Доводы кассационной жалобы были предметом рассмотрения судов и получили правовую оценку, не опровергают выводы судов, направлены на переоценку установленных судами фактических обстоятельств и не подтверждают существенных нарушений судами норм материального и процессуального права, повлиявших на исход дела. Учитывая изложенное и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администрации муниципального района Кугарчинский район Республики Башкортостан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 Суд: Верховный Суд РФ (подробнее) Истцы: Государственное автономное учреждение Управление государственной экспертизы Республики Башкортостан (подробнее) Ответчики: Администрация муниципального района Кугарчинский район Республики Башкортостан (подробнее) Судьи дела: Чучунова Н.С.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