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21.12.2018 заявленные требования удовлетворены. Постановлением Восемнадцатого арбитражного апелляционного суда от 24.04.2019 решение суда первой инстанции отменено, в удовлетворении иска отказано. Постановлением Арбитражного суда Уральского округа от 29.08.2019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постановления от 24.04.2019, от 29.08.2019 и оставить в силе решение суда первой инстанции от 21.12.2018.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установил, что работы по договору выполнены обществом некачественно, бюро мотивированно отказалось от подписания акта сдачи-приемки с заявленным объемом работ. При таких обстоятельствах суд, руководствуясь статьями 702 , 711 , 720 , 723 , 753 , 758 , 760 , 762 Гражданского кодекса Российской Федерации, пришел к выводу об отсутствии у ответчика обязанности по оплате спорных работ, в связи с чем отказал в удовлетворении иска.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«ДДД-Адонис»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